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99D" w:rsidRPr="00833E61" w:rsidRDefault="00833E61" w:rsidP="00833E61">
      <w:pPr>
        <w:jc w:val="center"/>
        <w:rPr>
          <w:rFonts w:cs="Arial"/>
          <w:b/>
          <w:u w:val="single"/>
        </w:rPr>
      </w:pPr>
      <w:r w:rsidRPr="00833E61">
        <w:rPr>
          <w:rFonts w:cs="Arial"/>
          <w:b/>
          <w:u w:val="single"/>
        </w:rPr>
        <w:t>National Numeracy</w:t>
      </w:r>
      <w:r w:rsidR="009F0A17">
        <w:rPr>
          <w:rFonts w:cs="Arial"/>
          <w:b/>
          <w:u w:val="single"/>
        </w:rPr>
        <w:t xml:space="preserve"> and Mathematics</w:t>
      </w:r>
      <w:r w:rsidRPr="00833E61">
        <w:rPr>
          <w:rFonts w:cs="Arial"/>
          <w:b/>
          <w:u w:val="single"/>
        </w:rPr>
        <w:t xml:space="preserve"> Progression Framework</w:t>
      </w:r>
    </w:p>
    <w:p w:rsidR="00B47E43" w:rsidRDefault="00B47E43" w:rsidP="00833E61">
      <w:pPr>
        <w:jc w:val="center"/>
        <w:rPr>
          <w:rFonts w:cs="Arial"/>
          <w:b/>
          <w:u w:val="single"/>
        </w:rPr>
      </w:pPr>
    </w:p>
    <w:p w:rsidR="00833E61" w:rsidRPr="00833E61" w:rsidRDefault="00D42DF1" w:rsidP="00833E61">
      <w:pPr>
        <w:jc w:val="center"/>
        <w:rPr>
          <w:rFonts w:cs="Arial"/>
          <w:b/>
          <w:u w:val="single"/>
        </w:rPr>
      </w:pPr>
      <w:r>
        <w:rPr>
          <w:rFonts w:cs="Arial"/>
          <w:b/>
          <w:u w:val="single"/>
        </w:rPr>
        <w:t>Supporting Professional Dialogue on Progression</w:t>
      </w:r>
    </w:p>
    <w:p w:rsidR="00833E61" w:rsidRPr="00833E61" w:rsidRDefault="00833E61" w:rsidP="00833E61">
      <w:pPr>
        <w:jc w:val="center"/>
        <w:rPr>
          <w:rFonts w:cs="Arial"/>
          <w:b/>
          <w:u w:val="single"/>
        </w:rPr>
      </w:pPr>
    </w:p>
    <w:p w:rsidR="007B4069" w:rsidRDefault="007B4069" w:rsidP="00833E61">
      <w:pPr>
        <w:jc w:val="left"/>
        <w:rPr>
          <w:rFonts w:cs="Arial"/>
        </w:rPr>
      </w:pPr>
    </w:p>
    <w:p w:rsidR="007B4069" w:rsidRDefault="007B4069" w:rsidP="00833E61">
      <w:pPr>
        <w:jc w:val="left"/>
        <w:rPr>
          <w:rFonts w:cs="Arial"/>
        </w:rPr>
      </w:pPr>
      <w:r>
        <w:rPr>
          <w:rFonts w:cs="Arial"/>
        </w:rPr>
        <w:t xml:space="preserve">It is important that all </w:t>
      </w:r>
      <w:r w:rsidR="009B2927">
        <w:rPr>
          <w:rFonts w:cs="Arial"/>
        </w:rPr>
        <w:t>staff</w:t>
      </w:r>
      <w:r>
        <w:rPr>
          <w:rFonts w:cs="Arial"/>
        </w:rPr>
        <w:t xml:space="preserve"> have a sound understan</w:t>
      </w:r>
      <w:r w:rsidR="00B47E43">
        <w:rPr>
          <w:rFonts w:cs="Arial"/>
        </w:rPr>
        <w:t>ding of progression across the broad general e</w:t>
      </w:r>
      <w:r>
        <w:rPr>
          <w:rFonts w:cs="Arial"/>
        </w:rPr>
        <w:t>ducation in numeracy</w:t>
      </w:r>
      <w:r w:rsidR="009F0A17">
        <w:rPr>
          <w:rFonts w:cs="Arial"/>
        </w:rPr>
        <w:t xml:space="preserve"> and mathematics</w:t>
      </w:r>
      <w:r>
        <w:rPr>
          <w:rFonts w:cs="Arial"/>
        </w:rPr>
        <w:t>.</w:t>
      </w:r>
    </w:p>
    <w:p w:rsidR="007B4069" w:rsidRDefault="007B4069" w:rsidP="00833E61">
      <w:pPr>
        <w:jc w:val="left"/>
        <w:rPr>
          <w:rFonts w:cs="Arial"/>
        </w:rPr>
      </w:pPr>
    </w:p>
    <w:p w:rsidR="007B4069" w:rsidRDefault="007B4069" w:rsidP="00833E61">
      <w:pPr>
        <w:jc w:val="left"/>
        <w:rPr>
          <w:rFonts w:cs="Arial"/>
        </w:rPr>
      </w:pPr>
    </w:p>
    <w:p w:rsidR="00833E61" w:rsidRDefault="00833E61" w:rsidP="00833E61">
      <w:pPr>
        <w:jc w:val="left"/>
        <w:rPr>
          <w:rFonts w:cs="Arial"/>
        </w:rPr>
      </w:pPr>
      <w:r w:rsidRPr="00833E61">
        <w:rPr>
          <w:rFonts w:cs="Arial"/>
        </w:rPr>
        <w:t xml:space="preserve">The </w:t>
      </w:r>
      <w:hyperlink r:id="rId7" w:history="1">
        <w:r w:rsidRPr="00DA2196">
          <w:rPr>
            <w:rStyle w:val="Hyperlink"/>
            <w:rFonts w:cs="Arial"/>
          </w:rPr>
          <w:t>National Numeracy</w:t>
        </w:r>
        <w:r w:rsidR="000A5615" w:rsidRPr="00DA2196">
          <w:rPr>
            <w:rStyle w:val="Hyperlink"/>
            <w:rFonts w:cs="Arial"/>
          </w:rPr>
          <w:t xml:space="preserve"> and Mathematics</w:t>
        </w:r>
        <w:r w:rsidRPr="00DA2196">
          <w:rPr>
            <w:rStyle w:val="Hyperlink"/>
            <w:rFonts w:cs="Arial"/>
          </w:rPr>
          <w:t xml:space="preserve"> Progression Framework</w:t>
        </w:r>
      </w:hyperlink>
      <w:r w:rsidRPr="00833E61">
        <w:rPr>
          <w:rFonts w:cs="Arial"/>
        </w:rPr>
        <w:t xml:space="preserve"> has been produced to support staff to have deeper understanding of progression within the experiences and outcomes.</w:t>
      </w:r>
    </w:p>
    <w:p w:rsidR="00833E61" w:rsidRDefault="00833E61" w:rsidP="00833E61">
      <w:pPr>
        <w:jc w:val="left"/>
        <w:rPr>
          <w:rFonts w:cs="Arial"/>
        </w:rPr>
      </w:pPr>
    </w:p>
    <w:p w:rsidR="00833E61" w:rsidRDefault="00833E61" w:rsidP="00833E61">
      <w:pPr>
        <w:jc w:val="left"/>
        <w:rPr>
          <w:rFonts w:cs="Arial"/>
        </w:rPr>
      </w:pPr>
      <w:r>
        <w:rPr>
          <w:rFonts w:cs="Arial"/>
        </w:rPr>
        <w:t>These sort cards can be used to promote professional dialogue about progression in numeracy</w:t>
      </w:r>
      <w:r w:rsidR="009F0A17">
        <w:rPr>
          <w:rFonts w:cs="Arial"/>
        </w:rPr>
        <w:t xml:space="preserve"> and mathematics</w:t>
      </w:r>
      <w:r>
        <w:rPr>
          <w:rFonts w:cs="Arial"/>
        </w:rPr>
        <w:t xml:space="preserve">. </w:t>
      </w:r>
    </w:p>
    <w:p w:rsidR="00833E61" w:rsidRDefault="00833E61" w:rsidP="00833E61">
      <w:pPr>
        <w:jc w:val="left"/>
        <w:rPr>
          <w:rFonts w:cs="Arial"/>
        </w:rPr>
      </w:pPr>
    </w:p>
    <w:p w:rsidR="00833E61" w:rsidRDefault="00833E61" w:rsidP="00833E61">
      <w:pPr>
        <w:jc w:val="left"/>
        <w:rPr>
          <w:rFonts w:cs="Arial"/>
        </w:rPr>
      </w:pPr>
      <w:r>
        <w:rPr>
          <w:rFonts w:cs="Arial"/>
        </w:rPr>
        <w:t xml:space="preserve">For each of the numeracy </w:t>
      </w:r>
      <w:r w:rsidR="009F0A17">
        <w:rPr>
          <w:rFonts w:cs="Arial"/>
        </w:rPr>
        <w:t xml:space="preserve">and mathematics </w:t>
      </w:r>
      <w:r>
        <w:rPr>
          <w:rFonts w:cs="Arial"/>
        </w:rPr>
        <w:t>organisers there are a set of cards showing:</w:t>
      </w:r>
    </w:p>
    <w:p w:rsidR="00833E61" w:rsidRDefault="00833E61" w:rsidP="00833E61">
      <w:pPr>
        <w:jc w:val="left"/>
        <w:rPr>
          <w:rFonts w:cs="Arial"/>
        </w:rPr>
      </w:pPr>
      <w:r>
        <w:rPr>
          <w:rFonts w:cs="Arial"/>
        </w:rPr>
        <w:t>1.) The key milestones within each progression pathway.</w:t>
      </w:r>
    </w:p>
    <w:p w:rsidR="00833E61" w:rsidRDefault="00833E61" w:rsidP="00833E61">
      <w:pPr>
        <w:jc w:val="left"/>
        <w:rPr>
          <w:rFonts w:cs="Arial"/>
        </w:rPr>
      </w:pPr>
      <w:r>
        <w:rPr>
          <w:rFonts w:cs="Arial"/>
        </w:rPr>
        <w:t>2.) The building blocks within each of the key milestones.</w:t>
      </w:r>
    </w:p>
    <w:p w:rsidR="00833E61" w:rsidRDefault="00833E61" w:rsidP="00833E61">
      <w:pPr>
        <w:jc w:val="left"/>
        <w:rPr>
          <w:rFonts w:cs="Arial"/>
        </w:rPr>
      </w:pPr>
    </w:p>
    <w:p w:rsidR="00833E61" w:rsidRDefault="00833E61" w:rsidP="00833E61">
      <w:pPr>
        <w:jc w:val="left"/>
        <w:rPr>
          <w:rFonts w:cs="Arial"/>
        </w:rPr>
      </w:pPr>
      <w:r>
        <w:rPr>
          <w:rFonts w:cs="Arial"/>
        </w:rPr>
        <w:t>An effective professional learning activ</w:t>
      </w:r>
      <w:bookmarkStart w:id="0" w:name="_GoBack"/>
      <w:bookmarkEnd w:id="0"/>
      <w:r>
        <w:rPr>
          <w:rFonts w:cs="Arial"/>
        </w:rPr>
        <w:t xml:space="preserve">ity is for staff to be given a set of milestone cards for one of the numeracy </w:t>
      </w:r>
      <w:r w:rsidR="009F0A17">
        <w:rPr>
          <w:rFonts w:cs="Arial"/>
        </w:rPr>
        <w:t xml:space="preserve">and mathematics </w:t>
      </w:r>
      <w:r>
        <w:rPr>
          <w:rFonts w:cs="Arial"/>
        </w:rPr>
        <w:t xml:space="preserve">organisers e.g. Money. In groups, they should then discuss and decide on the order for the progression pathway, reflecting </w:t>
      </w:r>
      <w:r w:rsidR="007B4069">
        <w:rPr>
          <w:rFonts w:cs="Arial"/>
        </w:rPr>
        <w:t>on current classroom practice</w:t>
      </w:r>
      <w:r>
        <w:rPr>
          <w:rFonts w:cs="Arial"/>
        </w:rPr>
        <w:t xml:space="preserve">. After the progression pathway has been </w:t>
      </w:r>
      <w:r w:rsidR="007B4069">
        <w:rPr>
          <w:rFonts w:cs="Arial"/>
        </w:rPr>
        <w:t>identified</w:t>
      </w:r>
      <w:r>
        <w:rPr>
          <w:rFonts w:cs="Arial"/>
        </w:rPr>
        <w:t>, then the group can organise the building block cards to show which of the milestones they each refer to.</w:t>
      </w:r>
      <w:r w:rsidR="00B47E43">
        <w:rPr>
          <w:rFonts w:cs="Arial"/>
        </w:rPr>
        <w:t xml:space="preserve"> </w:t>
      </w:r>
    </w:p>
    <w:p w:rsidR="00833E61" w:rsidRDefault="00833E61" w:rsidP="00833E61">
      <w:pPr>
        <w:jc w:val="left"/>
        <w:rPr>
          <w:rFonts w:cs="Arial"/>
        </w:rPr>
      </w:pPr>
    </w:p>
    <w:p w:rsidR="00833E61" w:rsidRDefault="00833E61" w:rsidP="00833E61">
      <w:pPr>
        <w:jc w:val="left"/>
        <w:rPr>
          <w:rFonts w:cs="Arial"/>
        </w:rPr>
      </w:pPr>
      <w:r>
        <w:rPr>
          <w:rFonts w:cs="Arial"/>
        </w:rPr>
        <w:t xml:space="preserve">This activity is </w:t>
      </w:r>
      <w:r w:rsidR="007B4069">
        <w:rPr>
          <w:rFonts w:cs="Arial"/>
        </w:rPr>
        <w:t xml:space="preserve">suitable for </w:t>
      </w:r>
      <w:r w:rsidR="009B2927">
        <w:rPr>
          <w:rFonts w:cs="Arial"/>
        </w:rPr>
        <w:t xml:space="preserve">all </w:t>
      </w:r>
      <w:r w:rsidR="007B4069">
        <w:rPr>
          <w:rFonts w:cs="Arial"/>
        </w:rPr>
        <w:t>staff across</w:t>
      </w:r>
      <w:r>
        <w:rPr>
          <w:rFonts w:cs="Arial"/>
        </w:rPr>
        <w:t xml:space="preserve"> an establishment or learning community</w:t>
      </w:r>
      <w:r w:rsidR="007B4069">
        <w:rPr>
          <w:rFonts w:cs="Arial"/>
        </w:rPr>
        <w:t>/cluster</w:t>
      </w:r>
      <w:r>
        <w:rPr>
          <w:rFonts w:cs="Arial"/>
        </w:rPr>
        <w:t xml:space="preserve"> to do together. The involvem</w:t>
      </w:r>
      <w:r w:rsidR="009B2927">
        <w:rPr>
          <w:rFonts w:cs="Arial"/>
        </w:rPr>
        <w:t>ent of staff from across the learning community/cluster</w:t>
      </w:r>
      <w:r>
        <w:rPr>
          <w:rFonts w:cs="Arial"/>
        </w:rPr>
        <w:t xml:space="preserve"> is particularly useful as this can help to develo</w:t>
      </w:r>
      <w:r w:rsidR="009B2927">
        <w:rPr>
          <w:rFonts w:cs="Arial"/>
        </w:rPr>
        <w:t xml:space="preserve">p a </w:t>
      </w:r>
      <w:r>
        <w:rPr>
          <w:rFonts w:cs="Arial"/>
        </w:rPr>
        <w:t xml:space="preserve">shared understanding of </w:t>
      </w:r>
      <w:r w:rsidR="009B2927">
        <w:rPr>
          <w:rFonts w:cs="Arial"/>
        </w:rPr>
        <w:t xml:space="preserve">progression within </w:t>
      </w:r>
      <w:r>
        <w:rPr>
          <w:rFonts w:cs="Arial"/>
        </w:rPr>
        <w:t>numeracy</w:t>
      </w:r>
      <w:r w:rsidR="009F0A17">
        <w:rPr>
          <w:rFonts w:cs="Arial"/>
        </w:rPr>
        <w:t xml:space="preserve"> and mathematics</w:t>
      </w:r>
      <w:r>
        <w:rPr>
          <w:rFonts w:cs="Arial"/>
        </w:rPr>
        <w:t>.</w:t>
      </w:r>
    </w:p>
    <w:p w:rsidR="00B47E43" w:rsidRDefault="00B47E43" w:rsidP="00833E61">
      <w:pPr>
        <w:jc w:val="left"/>
        <w:rPr>
          <w:rFonts w:cs="Arial"/>
        </w:rPr>
      </w:pPr>
    </w:p>
    <w:p w:rsidR="00B47E43" w:rsidRDefault="00B47E43" w:rsidP="00833E61">
      <w:pPr>
        <w:jc w:val="left"/>
        <w:rPr>
          <w:rFonts w:cs="Arial"/>
        </w:rPr>
      </w:pPr>
      <w:r>
        <w:rPr>
          <w:rFonts w:cs="Arial"/>
        </w:rPr>
        <w:t>The online resources can then be used to support planning for learning, teaching and assessment within mathematics and numeracy across learning. Clicking on each milestone leads to information explaining why that milestone is important and what the building blocks within that milestone are.</w:t>
      </w:r>
    </w:p>
    <w:p w:rsidR="00B47E43" w:rsidRDefault="00B47E43" w:rsidP="00833E61">
      <w:pPr>
        <w:jc w:val="left"/>
        <w:rPr>
          <w:rFonts w:cs="Arial"/>
        </w:rPr>
      </w:pPr>
    </w:p>
    <w:p w:rsidR="00B47E43" w:rsidRDefault="00B47E43" w:rsidP="00833E61">
      <w:pPr>
        <w:jc w:val="left"/>
        <w:rPr>
          <w:rFonts w:cs="Arial"/>
        </w:rPr>
      </w:pPr>
      <w:r>
        <w:rPr>
          <w:rFonts w:cs="Arial"/>
        </w:rPr>
        <w:t>Some milestones e.g. estimation and rounding, do not incl</w:t>
      </w:r>
      <w:r w:rsidR="009B2927">
        <w:rPr>
          <w:rFonts w:cs="Arial"/>
        </w:rPr>
        <w:t xml:space="preserve">ude building blocks due to the </w:t>
      </w:r>
      <w:r>
        <w:rPr>
          <w:rFonts w:cs="Arial"/>
        </w:rPr>
        <w:t>holistic nature of these skills.</w:t>
      </w:r>
    </w:p>
    <w:p w:rsidR="009B2927" w:rsidRDefault="009B2927" w:rsidP="00833E61">
      <w:pPr>
        <w:jc w:val="left"/>
        <w:rPr>
          <w:rFonts w:cs="Arial"/>
        </w:rPr>
      </w:pPr>
    </w:p>
    <w:p w:rsidR="009B2927" w:rsidRPr="00833E61" w:rsidRDefault="009B2927" w:rsidP="00833E61">
      <w:pPr>
        <w:jc w:val="left"/>
        <w:rPr>
          <w:rFonts w:cs="Arial"/>
        </w:rPr>
      </w:pPr>
      <w:r>
        <w:rPr>
          <w:rFonts w:cs="Arial"/>
        </w:rPr>
        <w:t>The learning comes from the professional discussion around ordering the cards. This will support understanding of standards and progression.</w:t>
      </w:r>
    </w:p>
    <w:sectPr w:rsidR="009B2927" w:rsidRPr="00833E61" w:rsidSect="00AB54FF">
      <w:headerReference w:type="default" r:id="rId8"/>
      <w:footerReference w:type="default" r:id="rId9"/>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872" w:rsidRDefault="006D5872">
      <w:pPr>
        <w:spacing w:line="240" w:lineRule="auto"/>
      </w:pPr>
      <w:r>
        <w:separator/>
      </w:r>
    </w:p>
  </w:endnote>
  <w:endnote w:type="continuationSeparator" w:id="0">
    <w:p w:rsidR="006D5872" w:rsidRDefault="006D58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9" w:rsidRPr="0067486A" w:rsidRDefault="003F2479" w:rsidP="0067486A">
    <w:pPr>
      <w:pStyle w:val="Footer"/>
      <w:tabs>
        <w:tab w:val="clear" w:pos="4153"/>
        <w:tab w:val="clear" w:pos="8306"/>
        <w:tab w:val="center" w:pos="4500"/>
        <w:tab w:val="right" w:pos="9000"/>
      </w:tabs>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872" w:rsidRDefault="006D5872">
      <w:pPr>
        <w:spacing w:line="240" w:lineRule="auto"/>
      </w:pPr>
      <w:r>
        <w:separator/>
      </w:r>
    </w:p>
  </w:footnote>
  <w:footnote w:type="continuationSeparator" w:id="0">
    <w:p w:rsidR="006D5872" w:rsidRDefault="006D587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9" w:rsidRPr="0067486A" w:rsidRDefault="003F2479" w:rsidP="0067486A">
    <w:pPr>
      <w:pStyle w:val="Header"/>
      <w:tabs>
        <w:tab w:val="clear" w:pos="4153"/>
        <w:tab w:val="clear" w:pos="8306"/>
        <w:tab w:val="center" w:pos="4500"/>
        <w:tab w:val="right" w:pos="9000"/>
      </w:tabs>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E61"/>
    <w:rsid w:val="000A5615"/>
    <w:rsid w:val="00100021"/>
    <w:rsid w:val="001267F7"/>
    <w:rsid w:val="00157346"/>
    <w:rsid w:val="00192DC7"/>
    <w:rsid w:val="002335BE"/>
    <w:rsid w:val="002F3688"/>
    <w:rsid w:val="003F2479"/>
    <w:rsid w:val="00411FC4"/>
    <w:rsid w:val="0067486A"/>
    <w:rsid w:val="006D26F7"/>
    <w:rsid w:val="006D5872"/>
    <w:rsid w:val="007B4069"/>
    <w:rsid w:val="00833E61"/>
    <w:rsid w:val="00952710"/>
    <w:rsid w:val="009B2927"/>
    <w:rsid w:val="009F0A17"/>
    <w:rsid w:val="009F71B8"/>
    <w:rsid w:val="00A56EBA"/>
    <w:rsid w:val="00A7311C"/>
    <w:rsid w:val="00A90A53"/>
    <w:rsid w:val="00AB54FF"/>
    <w:rsid w:val="00AC310B"/>
    <w:rsid w:val="00AE01CB"/>
    <w:rsid w:val="00B47E43"/>
    <w:rsid w:val="00BC0EF4"/>
    <w:rsid w:val="00C86FBA"/>
    <w:rsid w:val="00D42DF1"/>
    <w:rsid w:val="00DA2196"/>
    <w:rsid w:val="00E3599D"/>
    <w:rsid w:val="00E367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3E4658-F01C-464D-AF50-63FE5E00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character" w:styleId="Hyperlink">
    <w:name w:val="Hyperlink"/>
    <w:basedOn w:val="DefaultParagraphFont"/>
    <w:uiPriority w:val="99"/>
    <w:unhideWhenUsed/>
    <w:rsid w:val="00DA21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ducationscotland.gov.uk/resources/n/nnmpf/index.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2116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u419158</dc:creator>
  <cp:lastModifiedBy>Susheel Kumar</cp:lastModifiedBy>
  <cp:revision>7</cp:revision>
  <cp:lastPrinted>2015-03-23T15:19:00Z</cp:lastPrinted>
  <dcterms:created xsi:type="dcterms:W3CDTF">2015-03-23T15:04:00Z</dcterms:created>
  <dcterms:modified xsi:type="dcterms:W3CDTF">2016-06-10T08:25:00Z</dcterms:modified>
</cp:coreProperties>
</file>